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101</w:t>
      </w:r>
    </w:p>
    <w:p>
      <w:r>
        <w:t>Bundesgericht (BGE), 1990-06-28, FR</w:t>
      </w:r>
    </w:p>
    <w:p>
      <w:r>
        <w:rPr>
          <w:b/>
        </w:rPr>
        <w:t xml:space="preserve">Quelle: </w:t>
      </w:r>
      <w:r>
        <w:t>https://mcp.opencaselaw.ch/entscheid/bge_116 II 101</w:t>
      </w:r>
    </w:p>
    <w:p>
      <w:r>
        <w:t>FR: ATF 116 II 101</w:t>
      </w:r>
    </w:p>
    <w:p>
      <w:r>
        <w:t>IT: DTF 116 II 101</w:t>
      </w:r>
    </w:p>
    <w:p>
      <w:pPr>
        <w:pStyle w:val="Heading2"/>
      </w:pPr>
      <w:r>
        <w:t>Regeste</w:t>
      </w:r>
    </w:p>
    <w:p>
      <w:r>
        <w:t>Regeste Art. 151 Abs. 1 ZGB; Beeinträchtigung von Vermögensrechten durch die Scheidung; Verlust von Anwartschaften gegenüber den Sozialversicherungen. Die Scheidung kann den Verlust von sozialversicherungsrechtlichen Ansprüchen zur Folge haben, namentlich dann, wenn ein Ehegatte im Zeitpunkt der Scheidung sehr jung ist und die Ehe nur kurze Zeit gedauert hat; dieser Verlust ist als Vermögensschaden bei der Anwendung von Art. 151 Abs. 1 ZGB zu berücksichtigen (E. 5f).</w:t>
      </w:r>
    </w:p>
    <w:p>
      <w:pPr>
        <w:pStyle w:val="Heading2"/>
      </w:pPr>
      <w:r>
        <w:t>Erwägungen</w:t>
      </w:r>
    </w:p>
    <w:p>
      <w:r>
        <w:rPr>
          <w:b/>
        </w:rPr>
        <w:t>E. 5</w:t>
      </w:r>
    </w:p>
    <w:p>
      <w:r>
        <w:t>f) Un tel dommage peut notamment résulter de la perte d'expectatives découlant des assurances sociales. On ne saurait en effet perdre de vue que, par le mariage, la femme acquiert, sans égard au fait qu'elle exerce ou non une activité lucrative et indépendamment de la durée du mariage, des prétentions découlant des assurances sociales qu'elle perd presque toujours lorsqu'elle est très jeune au moment du divorce. Il en va ainsi, notamment, en ce qui concerne le droit à une rente de veuve des premier et deuxième piliers (art. 23 et 33 LAVS, RS 831.10; art. 19 et 21 LPP, RS 831.40), le droit à une rente complémentaire (art. 22bis LAVS; art. 19 al. 2 LPP; art. 20 OPP 2, RS 831.441.1), la participation à la rente de couple plus élevée et - ce qui est d'autant plus important eu égard à la différence d'âge - les prétentions résultant d'une méthode de calcul plus favorable de la rente simple de vieillesse de la femme par rapport aux méthodes de calcul de sa rente propre (art. 31 et 33 LAVS). Lorsque le mariage a été de courte durée, le divorce entraîne la perte de telles prétentions; cette perte revêt le caractère d'un BGE 116 II 101 S. 103 dommage à prendre en considération dans l'application de l'art. 151 CC. Les expectatives éventuelles de la veuve, par exemple, représenteraient, en cas de maintien du mariage et de décès du mari avant la 45e année de l'épouse, entre le triple et le quintuple du montant annuel de la rente de veuve (art. 36 LAVS); le dommage (éventuel) consécutif au divorce peut donc être considérable, même, voire précisément, lorsque le mariage a été de courte durée. Il s'agit, il est vrai, de prestations qui, en cas de maintien du mariage, n'auraient été exigibles que dans la mesure où le risque assuré se serait produit. Mais les frais nécessaires à la couverture de ce risque entraient dans le cadre de l'entretien découlant du mariage, comme ceux d'une prévoyance appropriée s'agissant de l'âge, de l'invalidité et de la mort de l'autre conjoint. Les époux devaient donc y pourvoir en commun en vertu de l'art. 163 CC (HAUSHEER/REUSSER/GEISER, n. 19 et 23 ad art. 163 CC). Dès lors, il faut aussi tenir compte de ce fait dans la fixation de la rente allouée sur la base de l'art. 151 al. 1 CC. Mais encore faut-il qu'il y ait un droit à une indemnité pour perte d'entretien et que ce droit soit invoqué dans le cadre de l'art. 151 al. 1 CC. Il se peut certes que, comme en l'espèce, l'épouse n'ait pas allégué, dans sa demande en justice, qu'elle subirait un dommage de ce chef. La question de savoir si le juge cantonal peut, voire doit, examiner cette question d'office relève du droit cantonal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